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§1118. DAM HAZARD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