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Notice of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Notice of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§1128. NOTICE OF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