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1129</w:t>
        <w:t xml:space="preserve">.  </w:t>
      </w:r>
      <w:r>
        <w:rPr>
          <w:b/>
        </w:rPr>
        <w:t xml:space="preserve">Violations</w:t>
      </w:r>
    </w:p>
    <w:p>
      <w:pPr>
        <w:jc w:val="both"/>
        <w:spacing w:before="100" w:after="100"/>
        <w:ind w:start="360"/>
        <w:ind w:firstLine="360"/>
      </w:pPr>
      <w:r>
        <w:rPr/>
      </w:r>
      <w:r>
        <w:rPr/>
      </w:r>
      <w:r>
        <w:t xml:space="preserve">In addition to any other forfeitures or penalties provided by law, a person who violates any provisions of this chapter or any rule or order adopted, promulgated or issued under this chapter is subject to a civil penalty as assessed by the commissioner of not less than $100 nor more than $5,000 for each day that the violation continues.  The penalty is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