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Prosecution of offenses</w:t>
      </w:r>
    </w:p>
    <w:p>
      <w:pPr>
        <w:jc w:val="both"/>
        <w:spacing w:before="100" w:after="100"/>
        <w:ind w:start="360"/>
        <w:ind w:firstLine="360"/>
      </w:pPr>
      <w:r>
        <w:rPr/>
      </w:r>
      <w:r>
        <w:rPr/>
      </w:r>
      <w:r>
        <w:t xml:space="preserve">Unless otherwise provided, offenses described in this chapter except where committed by a person subject to the Maine Code of Military Justice or the United States Uniform Code of Military Justice, may be prosecuted by complaint or indictment before a court of competent criminal jurisdiction. All fines and forfeitures collected under this chapter and not otherwise specifically provided for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 Prosecution of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Prosecution of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§341. PROSECUTION OF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