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Tuition benefit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§353-B. TUITION BENEFIT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