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§393. MAINE MILITARY AUTHORITY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