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Judge advocates</w:t>
      </w:r>
    </w:p>
    <w:p>
      <w:pPr>
        <w:jc w:val="both"/>
        <w:spacing w:before="100" w:after="100"/>
        <w:ind w:start="360"/>
        <w:ind w:firstLine="360"/>
      </w:pPr>
      <w:r>
        <w:rPr/>
      </w:r>
      <w:r>
        <w:rPr/>
      </w:r>
      <w:r>
        <w:t xml:space="preserve">The Adjutant General shall appoint judge advocates for the Army National Guard and judge advocates for the Air National Guard.  The Adjutant General shall appoint as state judge advocate one of the judge advocates from the National Guard.</w:t>
      </w:r>
      <w:r>
        <w:t xml:space="preserve">  </w:t>
      </w:r>
      <w:r xmlns:wp="http://schemas.openxmlformats.org/drawingml/2010/wordprocessingDrawing" xmlns:w15="http://schemas.microsoft.com/office/word/2012/wordml">
        <w:rPr>
          <w:rFonts w:ascii="Arial" w:hAnsi="Arial" w:cs="Arial"/>
          <w:sz w:val="22"/>
          <w:szCs w:val="22"/>
        </w:rPr>
        <w:t xml:space="preserve">[PL 2001, c. 662,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§20 (AMD). PL 2001, c. 662,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 Judge advocates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Judge advocates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§405. JUDGE ADVOCATES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