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Court-martial</w:t>
      </w:r>
    </w:p>
    <w:p>
      <w:pPr>
        <w:jc w:val="both"/>
        <w:spacing w:before="100" w:after="100"/>
        <w:ind w:start="360"/>
        <w:ind w:firstLine="360"/>
      </w:pPr>
      <w:r>
        <w:rPr/>
      </w:r>
      <w:r>
        <w:rPr/>
      </w:r>
      <w:r>
        <w:t xml:space="preserve">A court-martial shall have jurisdiction to try persons subject to this Code for any offense defined and made punishable by this Code.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 court-martial shall consist of:</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With panel.</w:t>
        <w:t xml:space="preserve"> </w:t>
      </w:r>
      <w:r>
        <w:t xml:space="preserve"> </w:t>
      </w:r>
      <w:r>
        <w:t xml:space="preserve">A military judge and a panel of not less than 3 members;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Without panel.</w:t>
        <w:t xml:space="preserve"> </w:t>
      </w:r>
      <w:r>
        <w:t xml:space="preserve"> </w:t>
      </w:r>
      <w:r>
        <w:t xml:space="preserve">A military judge, if before the court is assembled the accused, knowing the identity of the military judge and after consultation with defense counsel, requests in writing a court composed only of a military judge and the military judge approves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§416.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