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Convening a court-martial</w:t>
      </w:r>
    </w:p>
    <w:p>
      <w:pPr>
        <w:jc w:val="both"/>
        <w:spacing w:before="100" w:after="100"/>
        <w:ind w:start="360"/>
        <w:ind w:firstLine="360"/>
      </w:pPr>
      <w:r>
        <w:rPr/>
      </w:r>
      <w:r>
        <w:rPr/>
      </w:r>
      <w:r>
        <w:t xml:space="preserve">The convening authority of a court-martial under this Code shall be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 Convening a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Convening a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§419. CONVENING A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