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§454. FALSE OFFICIAL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