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Annual reports</w:t>
      </w:r>
    </w:p>
    <w:p>
      <w:pPr>
        <w:jc w:val="both"/>
        <w:spacing w:before="100" w:after="100"/>
        <w:ind w:start="360"/>
        <w:ind w:firstLine="360"/>
      </w:pPr>
      <w:r>
        <w:rPr/>
      </w:r>
      <w:r>
        <w:rPr/>
      </w:r>
      <w:r>
        <w:t xml:space="preserve">By February 15, 2023 and annually thereafter, the board shall submit a report to the Governor and the joint standing committee of the Legislature having jurisdiction over veterans affairs.  This report must contain a copy of audited financial statements, statistics on members who resided in the homes during the year, any amendments to the rules regarding the administration of the homes made by the board since its last report on the administration of the homes, a description of any efforts to seek funding as required under </w:t>
      </w:r>
      <w:r>
        <w:t>section 604, subsection 6</w:t>
      </w:r>
      <w:r>
        <w:t xml:space="preserve">, recommendations to the Governor and Legislature and information regarding such other matters as the board considers pertinent.  The joint standing committee of the Legislature having jurisdiction over veterans affairs may report out legislation based upon the report.</w:t>
      </w:r>
      <w:r>
        <w:t xml:space="preserve">  </w:t>
      </w:r>
      <w:r xmlns:wp="http://schemas.openxmlformats.org/drawingml/2010/wordprocessingDrawing" xmlns:w15="http://schemas.microsoft.com/office/word/2012/wordml">
        <w:rPr>
          <w:rFonts w:ascii="Arial" w:hAnsi="Arial" w:cs="Arial"/>
          <w:sz w:val="22"/>
          <w:szCs w:val="22"/>
        </w:rPr>
        <w:t xml:space="preserve">[PL 2021, c. 528,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2015, c. 397, §18 (AMD). PL 2021, c. 528,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§611.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