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Agency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Agency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§782. AGENCY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