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798</w:t>
        <w:t xml:space="preserve">.  </w:t>
      </w:r>
      <w:r>
        <w:rPr>
          <w:b/>
        </w:rPr>
        <w:t xml:space="preserve">Emergency notification</w:t>
      </w:r>
    </w:p>
    <w:p>
      <w:pPr>
        <w:jc w:val="both"/>
        <w:spacing w:before="100" w:after="100"/>
        <w:ind w:start="360"/>
        <w:ind w:firstLine="360"/>
      </w:pPr>
      <w:r>
        <w:rPr>
          <w:b/>
        </w:rPr>
        <w:t>1</w:t>
        <w:t xml:space="preserve">.  </w:t>
      </w:r>
      <w:r>
        <w:rPr>
          <w:b/>
        </w:rPr>
        <w:t xml:space="preserve">Immediate notification.</w:t>
        <w:t xml:space="preserve"> </w:t>
      </w:r>
      <w:r>
        <w:t xml:space="preserve"> </w:t>
      </w:r>
      <w:r>
        <w:t xml:space="preserve">In the event of an unlicensed release from any facility where a CERCLA hazardous substance or an extremely hazardous substance is produced, used or stored that requires reporting under the United States Comprehensive Environmental Response, Compensation, and Liability Act of 1980, Section 103(a) or the federal Superfund Amendments and Reauthorization Act of 1986, Title III, Section 304(a), the owner or operator of the facility at which the release occurs must immediately contact the local fire department with jurisdiction over the site, the State Police as the designated agent for the commission and the community emergency coordinator.  This oral notification must contain, to the extent known at the time of notice and so long as no delay in responding to the emergency results, information included in the Maine Emergency Management Agency's AR-1 form including:</w:t>
      </w:r>
    </w:p>
    <w:p>
      <w:pPr>
        <w:jc w:val="both"/>
        <w:spacing w:before="100" w:after="0"/>
        <w:ind w:start="720"/>
      </w:pPr>
      <w:r>
        <w:rPr/>
        <w:t>A</w:t>
        <w:t xml:space="preserve">.  </w:t>
      </w:r>
      <w:r>
        <w:rPr/>
      </w:r>
      <w:r>
        <w:t xml:space="preserve">The specific location of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Identification of the chemical released and the estimated quantity released;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The time and duration of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environmental media into which the chemical was released;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Any known or anticipated acute or chronic health risks;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Any precautions that should be taken, including evacuation or medical surveillance;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The names and telephone numbers of parties to be contacted for further information.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§50 (COR).]</w:t>
      </w:r>
    </w:p>
    <w:p>
      <w:pPr>
        <w:jc w:val="both"/>
        <w:spacing w:before="100" w:after="0"/>
        <w:ind w:start="360"/>
        <w:ind w:firstLine="360"/>
      </w:pPr>
      <w:r>
        <w:rPr>
          <w:b/>
        </w:rPr>
        <w:t>2</w:t>
        <w:t xml:space="preserve">.  </w:t>
      </w:r>
      <w:r>
        <w:rPr>
          <w:b/>
        </w:rPr>
        <w:t xml:space="preserve">Transportation releases.</w:t>
        <w:t xml:space="preserve"> </w:t>
      </w:r>
      <w:r>
        <w:t xml:space="preserve"> </w:t>
      </w:r>
      <w:r>
        <w:t xml:space="preserve">For releases of substances covered under this subchapter during transportation, the responsible party must contact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Follow-up report.</w:t>
        <w:t xml:space="preserve"> </w:t>
      </w:r>
      <w:r>
        <w:t xml:space="preserve"> </w:t>
      </w:r>
      <w:r>
        <w:t xml:space="preserve">Within 14 days of the release, the owner or operator must file with the commission and committee a follow-up emergency notice, which details all of the information in </w:t>
      </w:r>
      <w:r>
        <w:t>subsection 1</w:t>
      </w:r>
      <w:r>
        <w:t xml:space="preserve">, along with:</w:t>
      </w:r>
    </w:p>
    <w:p>
      <w:pPr>
        <w:jc w:val="both"/>
        <w:spacing w:before="100" w:after="0"/>
        <w:ind w:start="720"/>
      </w:pPr>
      <w:r>
        <w:rPr/>
        <w:t>A</w:t>
        <w:t xml:space="preserve">.  </w:t>
      </w:r>
      <w:r>
        <w:rPr/>
      </w:r>
      <w:r>
        <w:t xml:space="preserve">Actions taken to respond to and contain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cause of the release and the events leading to it;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The known or anticipated health risks of the release and any medical attention needs of exposed persons;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measures taken or to be taken to avoid recurrence.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RR 2021, c. 1, Pt. A, §50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§798. Emergency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§798. Emergency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§798. EMERGENCY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