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§949-C. Regulation of services during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§949-C. Regulation of services during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§949-C. REGULATION OF SERVICES DURING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