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949-I</w:t>
        <w:t xml:space="preserve">.  </w:t>
      </w:r>
      <w:r>
        <w:rPr>
          <w:b/>
        </w:rPr>
        <w:t xml:space="preserve">Regulatory authority</w:t>
      </w:r>
    </w:p>
    <w:p>
      <w:pPr>
        <w:jc w:val="both"/>
        <w:spacing w:before="100" w:after="100"/>
        <w:ind w:start="360"/>
        <w:ind w:firstLine="360"/>
      </w:pPr>
      <w:r>
        <w:rPr/>
      </w:r>
      <w:r>
        <w:rPr/>
      </w:r>
      <w:r>
        <w:t xml:space="preserve">The Department of Health and Human Services may adopt rules to implement this chapter.  In doing so, the Department of Health and Human Services shall consult with and consider the recommendations of the Maine Emergency Management Agency and shall also consult with and consider rules adopted by similarly empowered agencies in other states to promote uniformity of application of this chapter and make the emergency response systems in the various states reasonably compatible.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§949-I.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§949-I.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§949-I.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