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Harbor master liability</w:t>
      </w:r>
    </w:p>
    <w:p>
      <w:pPr>
        <w:jc w:val="both"/>
        <w:spacing w:before="100" w:after="100"/>
        <w:ind w:start="360"/>
        <w:ind w:firstLine="360"/>
      </w:pPr>
      <w:r>
        <w:rPr/>
      </w:r>
      <w:r>
        <w:rPr/>
      </w:r>
      <w:r>
        <w:t xml:space="preserve">In addition to the immunities from liability and the limitations and defenses provided under the Maine Tort Claims Act, </w:t>
      </w:r>
      <w:r>
        <w:t>Title 14, sections 8103</w:t>
      </w:r>
      <w:r>
        <w:t xml:space="preserve">, </w:t>
      </w:r>
      <w:r>
        <w:t>8111</w:t>
      </w:r>
      <w:r>
        <w:t xml:space="preserve"> and </w:t>
      </w:r>
      <w:r>
        <w:t>8112</w:t>
      </w:r>
      <w:r>
        <w:t xml:space="preserve">, a harbor master who, in the performance of statutory duties as set forth in </w:t>
      </w:r>
      <w:r>
        <w:t>sections 4</w:t>
      </w:r>
      <w:r>
        <w:t xml:space="preserve"> and </w:t>
      </w:r>
      <w:r>
        <w:t>5</w:t>
      </w:r>
      <w:r>
        <w:t xml:space="preserve">, causes any damage to property or any injury to a person shall not be liable for damage or injury, unless the damage or injury is a direct result of the gross negligence, gross recklessness or bad faith intentional misconduct of the harbor master.</w:t>
      </w:r>
      <w:r>
        <w:t xml:space="preserve">  </w:t>
      </w:r>
      <w:r xmlns:wp="http://schemas.openxmlformats.org/drawingml/2010/wordprocessingDrawing" xmlns:w15="http://schemas.microsoft.com/office/word/2012/wordml">
        <w:rPr>
          <w:rFonts w:ascii="Arial" w:hAnsi="Arial" w:cs="Arial"/>
          <w:sz w:val="22"/>
          <w:szCs w:val="22"/>
        </w:rPr>
        <w:t xml:space="preserve">[PL 1987, c. 655,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PL 1987, c. 655,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Harbor master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Harbor master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 HARBOR MASTER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