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Lease of property; applicable to all sewer districts</w:t>
      </w:r>
    </w:p>
    <w:p>
      <w:pPr>
        <w:jc w:val="both"/>
        <w:spacing w:before="100" w:after="100"/>
        <w:ind w:start="360"/>
        <w:ind w:firstLine="360"/>
      </w:pPr>
      <w:r>
        <w:rPr/>
      </w:r>
      <w:r>
        <w:rPr/>
      </w:r>
      <w:r>
        <w:t xml:space="preserve">A sewer district may enter into a lease and leaseback transaction with respect to some or all of its real or personal property, other than land, and may take all other necessary action,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10 and specifically provides that this subsection or former section 1252, subsection 10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Lease of property;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Lease of property;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§1045. LEASE OF PROPERTY;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