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Disposition of fees</w:t>
      </w:r>
    </w:p>
    <w:p>
      <w:pPr>
        <w:jc w:val="both"/>
        <w:spacing w:before="100" w:after="100"/>
        <w:ind w:start="360"/>
        <w:ind w:firstLine="360"/>
      </w:pPr>
      <w:r>
        <w:rPr/>
      </w:r>
      <w:r>
        <w:rPr/>
      </w:r>
      <w:r>
        <w:t xml:space="preserve">All money received by the commission must be paid to the Treasurer of State and credited to the account for the commission within the budget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727, Pt. C, §20 (AMD).]</w:t>
      </w:r>
    </w:p>
    <w:p>
      <w:pPr>
        <w:jc w:val="both"/>
        <w:spacing w:before="100" w:after="100"/>
        <w:ind w:start="360"/>
        <w:ind w:firstLine="360"/>
      </w:pPr>
      <w:r>
        <w:rPr/>
      </w:r>
      <w:r>
        <w:rPr/>
      </w:r>
      <w:r>
        <w:t xml:space="preserve">Money received by the commission must be used for the expenses of administering its statutory responsibilities, including, but not limited to, the costs of conducting investigations, taking testimony and procuring the attendance of witnesses, the costs of all legal proceedings initiated for enforcement and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§40 (NEW). PL 1995, c. 397, §127 (RPR). PL 1995, c. 502, §H48 (AMD). PL 1997, c. 727,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