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Powers</w:t>
      </w:r>
    </w:p>
    <w:p>
      <w:pPr>
        <w:jc w:val="both"/>
        <w:spacing w:before="100" w:after="100"/>
        <w:ind w:start="360"/>
        <w:ind w:firstLine="360"/>
      </w:pPr>
      <w:r>
        <w:rPr/>
      </w:r>
      <w:r>
        <w:rPr/>
      </w:r>
      <w:r>
        <w:t xml:space="preserve">Each sanitary district formed under this chapter shall have the power, within the district, within the territory of any adjoining municipality, and within any adjoining unorganized territory, to lay pipes, drains, sewers and conduits, and to take up, repair and maintain the same or to contract for the same to be done, in, along and through any public or private ways and public grounds, and in, along and through lands of any person or corporation, to and into tidal waters, rivers, watercourses and treatment works or to or into any drain or sewer now or hereafter built which empties into tidal waters, rivers, watercourses and treatment works, the discharge therefrom to be at such points consistent with the requirements of public health as shall be found convenient and reasonable for said district and the flow of existing watercourses; to construct and maintain treatment works, pumping stations, basins, reservoirs, flush tanks and such other appliances for collecting, holding, purifying, distributing and disposing of sewage matter and commercial and industrial waste and of storm and surface water, all as may be necessary or proper; and in general, do any or all other things necessary or incidental to accomplish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1967,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