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w:t>
        <w:t xml:space="preserve">.  </w:t>
      </w:r>
      <w:r>
        <w:rPr>
          <w:b/>
        </w:rPr>
        <w:t xml:space="preserve">Violation of subchapter</w:t>
      </w:r>
    </w:p>
    <w:p>
      <w:pPr>
        <w:jc w:val="both"/>
        <w:spacing w:before="100" w:after="100"/>
        <w:ind w:start="360"/>
        <w:ind w:firstLine="360"/>
      </w:pPr>
      <w:r>
        <w:rPr/>
      </w:r>
      <w:r>
        <w:rPr/>
      </w:r>
      <w:r>
        <w:t xml:space="preserve">Except as provided in </w:t>
      </w:r>
      <w:r>
        <w:t>section 13</w:t>
      </w:r>
      <w:r>
        <w:t xml:space="preserve">, a violation of this subchapter or any harbor ordinance may be prosecuted and relief, fees, fines and penalties granted and assessed pursuant to the provisions of </w:t>
      </w:r>
      <w:r>
        <w:t>Title 30‑A, 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655, §8 (NEW). PL 1989, c. 287, §5 (RPR). PL 1991, c. 262,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 Violation of subchapter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 Violation of subchapter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 VIOLATION OF SUBCHAPTER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