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Impact fees and connection fees; affordable housing</w:t>
      </w:r>
    </w:p>
    <w:p>
      <w:pPr>
        <w:jc w:val="both"/>
        <w:spacing w:before="100" w:after="100"/>
        <w:ind w:start="360"/>
        <w:ind w:firstLine="360"/>
      </w:pPr>
      <w:r>
        <w:rPr/>
      </w:r>
      <w:r>
        <w:rPr/>
      </w:r>
      <w:r>
        <w:t xml:space="preserve">Notwithstanding </w:t>
      </w:r>
      <w:r>
        <w:t>section 1202</w:t>
      </w:r>
      <w:r>
        <w:t xml:space="preserve">, the 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§1202-A. Impact fees and connection fees;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Impact fees and connection fees;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§1202-A. IMPACT FEES AND CONNECTION FEES;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