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Appointment of inspectors; fees; remarking of boats</w:t>
      </w:r>
    </w:p>
    <w:p>
      <w:pPr>
        <w:jc w:val="both"/>
        <w:spacing w:before="100" w:after="100"/>
        <w:ind w:start="360"/>
        <w:ind w:firstLine="360"/>
      </w:pPr>
      <w:r>
        <w:rPr/>
      </w:r>
      <w:r>
        <w:rPr/>
      </w:r>
      <w:r>
        <w:t xml:space="preserve">The municipal officers of every town where boats and lighters are employed for the purposes set forth in section 121 shall annually, in April or May, appoint some suitable person to be sworn to examine and ascertain the capacities of all such boats and lighters, and mark them as prescribed. The municipal officers shall establish and regulate the fees therefor.</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w:pPr>
        <w:jc w:val="both"/>
        <w:spacing w:before="100" w:after="100"/>
        <w:ind w:start="360"/>
        <w:ind w:firstLine="360"/>
      </w:pPr>
      <w:r>
        <w:rPr/>
      </w:r>
      <w:r>
        <w:rPr/>
      </w:r>
      <w:r>
        <w:t xml:space="preserve">When such inspector thinks that the burden or capacity of any such boat or lighter is altered by repairs or otherwise, the inspector shall forthwith ascertain the same anew and mark it accordingly.</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Appointment of inspectors; fees; remarking of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Appointment of inspectors; fees; remarking of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 APPOINTMENT OF INSPECTORS; FEES; REMARKING OF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