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1274-A</w:t>
        <w:t xml:space="preserve">.  </w:t>
      </w:r>
      <w:r>
        <w:rPr>
          <w:b/>
        </w:rPr>
        <w:t xml:space="preserve">Certification and licensing requirements</w:t>
      </w:r>
    </w:p>
    <w:p>
      <w:pPr>
        <w:jc w:val="both"/>
        <w:spacing w:before="100" w:after="100"/>
        <w:ind w:start="360"/>
        <w:ind w:firstLine="360"/>
      </w:pPr>
      <w:r>
        <w:rPr/>
      </w:r>
      <w:r>
        <w:rPr/>
      </w:r>
      <w:r>
        <w:t xml:space="preserve">The board may adopt and amend rules necessary to govern the licensing of business or public entities including but not limited to asbestos abatement contractors, in-house asbestos abatement units, asbestos consultants, asbestos analytical laboratory and training providers; and the certification of asbestos professionals undertaking asbestos abatement activities.</w:t>
      </w:r>
      <w:r>
        <w:t xml:space="preserve">  </w:t>
      </w:r>
      <w:r xmlns:wp="http://schemas.openxmlformats.org/drawingml/2010/wordprocessingDrawing" xmlns:w15="http://schemas.microsoft.com/office/word/2012/wordml">
        <w:rPr>
          <w:rFonts w:ascii="Arial" w:hAnsi="Arial" w:cs="Arial"/>
          <w:sz w:val="22"/>
          <w:szCs w:val="22"/>
        </w:rPr>
        <w:t xml:space="preserve">[PL 1993, c. 355,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§14 (NEW). PL 1993, c. 355,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§1274-A. Certification and 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§1274-A. Certification and 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§1274-A. CERTIFICATION AND 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