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1310-T</w:t>
        <w:t xml:space="preserve">.  </w:t>
      </w:r>
      <w:r>
        <w:rPr>
          <w:b/>
        </w:rPr>
        <w:t xml:space="preserve">Application fee</w:t>
      </w:r>
    </w:p>
    <w:p>
      <w:pPr>
        <w:jc w:val="both"/>
        <w:spacing w:before="100" w:after="100"/>
        <w:ind w:start="360"/>
        <w:ind w:firstLine="360"/>
      </w:pPr>
      <w:r>
        <w:rPr/>
      </w:r>
      <w:r>
        <w:rPr/>
      </w:r>
      <w:r>
        <w:t xml:space="preserve">In addition to any fees imposed pursuant to </w:t>
      </w:r>
      <w:r>
        <w:t>section 352</w:t>
      </w:r>
      <w:r>
        <w:t xml:space="preserve">, the applicant shall pay a fee of $50,000 at the time of filing an application for a solid waste disposal facility.  An application is considered incomplete and the department shall defer any review or processing of the application until the applicant has paid the full $50,000 fee.  The fee must be deposited in the Maine Environmental Protection Fund and used only to make reimbursements and grants to the intervenor in the applicant's license proceedings pursuant to </w:t>
      </w:r>
      <w:r>
        <w:t>section 1310‑S</w:t>
      </w:r>
      <w:r>
        <w:t xml:space="preserve">.  The applicant releases all control over this money and does not retain any rights to audit the spending of these funds once the fee has been deposited in the Maine Environmental Protection Fund.  Any portion of the fee not disbursed by the department for these purposes is reimbursed to the applicant, together with any interest that may have accrued on that portion.  Upon request, the commissioner shall provide an audit report to the applicant after all the application and appeal proceedings before the department have concluded.</w:t>
      </w:r>
      <w:r>
        <w:t xml:space="preserve">  </w:t>
      </w:r>
      <w:r xmlns:wp="http://schemas.openxmlformats.org/drawingml/2010/wordprocessingDrawing" xmlns:w15="http://schemas.microsoft.com/office/word/2012/wordml">
        <w:rPr>
          <w:rFonts w:ascii="Arial" w:hAnsi="Arial" w:cs="Arial"/>
          <w:sz w:val="22"/>
          <w:szCs w:val="22"/>
        </w:rPr>
        <w:t xml:space="preserve">[PL 1989, c. 15, §3 (AMD); PL 1989, c. 890, Pt. A, §40 (AFF); PL 1989, c. 890, Pt. B, §250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15, §3 (AMD). PL 1989, c. 890, §§A40,B250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§1310-T.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§1310-T.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§1310-T.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