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1363</w:t>
        <w:t xml:space="preserve">.  </w:t>
      </w:r>
      <w:r>
        <w:rPr>
          <w:b/>
        </w:rPr>
        <w:t xml:space="preserve">Prohibited acts</w:t>
      </w:r>
    </w:p>
    <w:p>
      <w:pPr>
        <w:jc w:val="both"/>
        <w:spacing w:before="100" w:after="100"/>
        <w:ind w:start="360"/>
        <w:ind w:firstLine="360"/>
      </w:pPr>
      <w:r>
        <w:rPr/>
      </w:r>
      <w:r>
        <w:rPr/>
      </w:r>
      <w:r>
        <w:t xml:space="preserve">No person may handle hazardous substances at an uncontrolled hazardous substance site in violation of any order issued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1983, c. 569,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§1363. Prohibited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§1363. Prohibited 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§1363. PROHIBITED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