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1399</w:t>
        <w:t xml:space="preserve">.  </w:t>
      </w:r>
      <w:r>
        <w:rPr>
          <w:b/>
        </w:rPr>
        <w:t xml:space="preserve">Municipal authority</w:t>
      </w:r>
    </w:p>
    <w:p>
      <w:pPr>
        <w:jc w:val="both"/>
        <w:spacing w:before="100" w:after="100"/>
        <w:ind w:start="360"/>
        <w:ind w:firstLine="360"/>
      </w:pPr>
      <w:r>
        <w:rPr/>
      </w:r>
      <w:r>
        <w:rPr/>
      </w:r>
      <w:r>
        <w:t xml:space="preserve">This chapter may not be construed to prevent a municipality from imposing siting restrictions more stringent than the prohibitions in this chapter or in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§1399.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§1399.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§1399.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