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§1404. LIABILITY FOR GROSS NEGLIGENCE OR RECKLESS, WANTON OR INTENTIONAL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