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§1696. SALES PROHIBITION; RULES; SAFER ALTERNATIVES TO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