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No limitation of municipal authority</w:t>
      </w:r>
    </w:p>
    <w:p>
      <w:pPr>
        <w:jc w:val="both"/>
        <w:spacing w:before="100" w:after="100"/>
        <w:ind w:start="360"/>
        <w:ind w:firstLine="360"/>
      </w:pPr>
      <w:r>
        <w:rPr/>
      </w:r>
      <w:r>
        <w:rPr/>
      </w:r>
      <w:r>
        <w:t xml:space="preserve">Nothing in this chapter changes or limits municipal authority to regulate collection of solid waste, including curbside collection of residential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 No limitation of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No limitation of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§1775. NO LIMITATION OF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