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Public water supplies</w:t>
      </w:r>
    </w:p>
    <w:p>
      <w:pPr>
        <w:jc w:val="both"/>
        <w:spacing w:before="100" w:after="100"/>
        <w:ind w:start="360"/>
        <w:ind w:firstLine="360"/>
      </w:pPr>
      <w:r>
        <w:rPr/>
      </w:r>
      <w:r>
        <w:rPr/>
      </w:r>
      <w:r>
        <w:t xml:space="preserve">If an infested water body pursuant to </w:t>
      </w:r>
      <w:r>
        <w:t>section 1864</w:t>
      </w:r>
      <w:r>
        <w:t xml:space="preserve"> is a public drinking water supply, public notification by the commissioner and the Commissioner of Inland Fisheries and Wildlife is required prior to any response action that proposes the use of a chemical control agent.  Public notification must include, at a minimum, notification of adjoining municipalities, property owners, drinking water suppliers who use that water supply and other affected persons, and must provide adequate time for public review and comment on the proposed emergency action.  Chemical control agents may not be used on a water body that is a public water supply without the prior written consent of each public water supplier using that water body.</w:t>
      </w:r>
      <w:r>
        <w:t xml:space="preserve">  </w:t>
      </w:r>
      <w:r xmlns:wp="http://schemas.openxmlformats.org/drawingml/2010/wordprocessingDrawing" xmlns:w15="http://schemas.microsoft.com/office/word/2012/wordml">
        <w:rPr>
          <w:rFonts w:ascii="Arial" w:hAnsi="Arial" w:cs="Arial"/>
          <w:sz w:val="22"/>
          <w:szCs w:val="22"/>
        </w:rPr>
        <w:t xml:space="preserve">[PL 2003, c. 551,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 Public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Public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§1865. PUBLIC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