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Office paper recycling program</w:t>
      </w:r>
    </w:p>
    <w:p>
      <w:pPr>
        <w:jc w:val="both"/>
        <w:spacing w:before="100" w:after="100"/>
        <w:ind w:start="360"/>
        <w:ind w:firstLine="360"/>
      </w:pPr>
      <w:r>
        <w:rPr>
          <w:b/>
        </w:rPr>
        <w:t>1</w:t>
        <w:t xml:space="preserve">.  </w:t>
      </w:r>
      <w:r>
        <w:rPr>
          <w:b/>
        </w:rPr>
        <w:t xml:space="preserve">Office paper recycling mandated.</w:t>
        <w:t xml:space="preserve"> </w:t>
      </w:r>
      <w:r>
        <w:t xml:space="preserve"> </w:t>
      </w:r>
      <w:r>
        <w:t xml:space="preserve">Any person employing 15 or more people at a site within the State shall implement an office paper and corrugated cardboard recycling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§56 (RP); PL 1995, c. 465, Pt. C, §2 (AFF).]</w:t>
      </w:r>
    </w:p>
    <w:p>
      <w:pPr>
        <w:jc w:val="both"/>
        <w:spacing w:before="100" w:after="0"/>
        <w:ind w:start="360"/>
      </w:pPr>
      <w:r>
        <w:rPr/>
      </w:r>
      <w:r>
        <w:rPr/>
      </w:r>
      <w:r>
        <w:t xml:space="preserve">The department may provide technical and marketing assistance and direction to entities within the State to assist with meeting this requirement.  Municipalities and regional associations may assist employers in attaining the objectives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§36 (AMD); PL 2011, c. 655, Pt. GG, §70 (AFF).]</w:t>
      </w:r>
    </w:p>
    <w:p>
      <w:pPr>
        <w:jc w:val="both"/>
        <w:spacing w:before="100" w:after="0"/>
        <w:ind w:start="360"/>
        <w:ind w:firstLine="360"/>
      </w:pPr>
      <w:r>
        <w:rPr>
          <w:b/>
        </w:rPr>
        <w:t>2</w:t>
        <w:t xml:space="preserve">.  </w:t>
      </w:r>
      <w:r>
        <w:rPr>
          <w:b/>
        </w:rPr>
        <w:t xml:space="preserve">Office paper.</w:t>
        <w:t xml:space="preserve"> </w:t>
      </w:r>
      <w:r>
        <w:t xml:space="preserve"> </w:t>
      </w:r>
      <w:r>
        <w:t xml:space="preserve">For the purposes of this section, "office paper" includes, but is not limited to, ledger, computer and bond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585, Pt. A, §7 (NEW).]</w:t>
      </w:r>
    </w:p>
    <w:p>
      <w:pPr>
        <w:jc w:val="both"/>
        <w:spacing w:before="100" w:after="0"/>
        <w:ind w:start="360"/>
        <w:ind w:firstLine="360"/>
      </w:pPr>
      <w:r>
        <w:rPr>
          <w:b/>
        </w:rPr>
        <w:t>3</w:t>
        <w:t xml:space="preserve">.  </w:t>
      </w:r>
      <w:r>
        <w:rPr>
          <w:b/>
        </w:rPr>
        <w:t xml:space="preserve">Certification of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§34 (RP).]</w:t>
      </w:r>
    </w:p>
    <w:p>
      <w:pPr>
        <w:jc w:val="both"/>
        <w:spacing w:before="100" w:after="0"/>
        <w:ind w:start="360"/>
        <w:ind w:firstLine="360"/>
      </w:pPr>
      <w:r>
        <w:rPr>
          <w:b/>
        </w:rPr>
        <w:t>4</w:t>
        <w:t xml:space="preserve">.  </w:t>
      </w:r>
      <w:r>
        <w:rPr>
          <w:b/>
        </w:rPr>
        <w:t xml:space="preserve">Technical and financial assistance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5</w:t>
        <w:t xml:space="preserve">.  </w:t>
      </w:r>
      <w:r>
        <w:rPr>
          <w:b/>
        </w:rPr>
        <w:t xml:space="preserve">Industrial waste reduction.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w:pPr>
        <w:jc w:val="both"/>
        <w:spacing w:before="100" w:after="0"/>
        <w:ind w:start="360"/>
        <w:ind w:firstLine="360"/>
      </w:pPr>
      <w:r>
        <w:rPr>
          <w:b/>
        </w:rPr>
        <w:t>6</w:t>
        <w:t xml:space="preserve">.  </w:t>
      </w:r>
      <w:r>
        <w:rPr>
          <w:b/>
        </w:rPr>
        <w:t xml:space="preserve">Beneficial use of office paper.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§56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§4 (AMD). PL 1995, c. 465, §A56 (AMD). PL 1995, c. 465, §C2 (AFF). PL 1995, c. 656, §A41 (AMD). PL 2011, c. 548, §34 (AMD). PL 2011, c. 655, Pt. GG, §36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§2138. Office paper recycling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Office paper recycling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§2138. OFFICE PAPER RECYCLING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