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Real and personal property; right of eminent domain</w:t>
      </w:r>
    </w:p>
    <w:p>
      <w:pPr>
        <w:jc w:val="both"/>
        <w:spacing w:before="100" w:after="100"/>
        <w:ind w:start="360"/>
        <w:ind w:firstLine="360"/>
      </w:pPr>
      <w:r>
        <w:rPr/>
      </w:r>
      <w:r>
        <w:rPr/>
      </w:r>
      <w:r>
        <w:t xml:space="preserve">The bureau may acquire and hold real and personal property that it considers necessary for its purposes, is granted the right of eminent domain and, for those purposes, may take and hold, either by exercising its right of eminent domain or by purchase, lease or otherwise, for public use, any land, real estate, easements or interest therein, necessary for constructing, establishing, maintaining, operating and the closure of solid waste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§44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§A46 (AMD). PL 2011, c. 655, Pt. GG, §44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 Real and personal property;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Real and personal property;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§2159. REAL AND PERSONAL PROPERTY;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