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§2165. REGULATION OF CERTAIN DRY CELL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