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Effect on existing contracts and facilities</w:t>
      </w:r>
    </w:p>
    <w:p>
      <w:pPr>
        <w:jc w:val="both"/>
        <w:spacing w:before="100" w:after="100"/>
        <w:ind w:start="360"/>
        <w:ind w:firstLine="360"/>
      </w:pPr>
      <w:r>
        <w:rPr/>
      </w:r>
      <w:r>
        <w:rPr/>
      </w:r>
      <w:r>
        <w:t xml:space="preserve">Except as otherwise provided, nothing in this chapter may be construed to impair any contract in force upon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§2183. Effect on existing contracts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Effect on existing contracts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§2183. EFFECT ON EXISTING CONTRACTS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