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§2203-A. WASTE HANDLING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