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Tax exemption</w:t>
      </w:r>
    </w:p>
    <w:p>
      <w:pPr>
        <w:jc w:val="both"/>
        <w:spacing w:before="100" w:after="100"/>
        <w:ind w:start="360"/>
        <w:ind w:firstLine="360"/>
      </w:pPr>
      <w:r>
        <w:rPr/>
      </w:r>
      <w:r>
        <w:rPr/>
      </w:r>
      <w:r>
        <w:t xml:space="preserve">Revenue obligation securities issued under this article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on their sale, are subject to taxation under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