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w:t>
        <w:t xml:space="preserve">.  </w:t>
      </w:r>
      <w:r>
        <w:rPr>
          <w:b/>
        </w:rPr>
        <w:t xml:space="preserve">Penalties</w:t>
      </w:r>
    </w:p>
    <w:p>
      <w:pPr>
        <w:jc w:val="both"/>
        <w:spacing w:before="100" w:after="100"/>
        <w:ind w:start="360"/>
        <w:ind w:firstLine="360"/>
      </w:pPr>
      <w:r>
        <w:rPr/>
      </w:r>
      <w:r>
        <w:rPr/>
      </w:r>
      <w:r>
        <w:t xml:space="preserve">The owner or operator of a facility subject to the requirements of this chapter that fails to meet any requirement of this chapter is subject to penalties under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