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2328</w:t>
        <w:t xml:space="preserve">.  </w:t>
      </w:r>
      <w:r>
        <w:rPr>
          <w:b/>
        </w:rPr>
        <w:t xml:space="preserve">Exemptions</w:t>
      </w:r>
    </w:p>
    <w:p>
      <w:pPr>
        <w:jc w:val="both"/>
        <w:spacing w:before="100" w:after="100"/>
        <w:ind w:start="360"/>
        <w:ind w:firstLine="360"/>
      </w:pPr>
      <w:r>
        <w:rPr/>
      </w:r>
      <w:r>
        <w:rPr/>
      </w:r>
      <w:r>
        <w:t xml:space="preserve">The department may exempt classes of facilities and specific uses of priority toxic chemicals by commercial and industrial facilities from the requirements of this chapter if the department determines that no reasonably available safer alternative exists, that the chemical is naturally occurring or that application of this chapter is unlikely to result in the reduction of the use of a priority toxic chemical.</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r>
      <w:r>
        <w:rPr/>
      </w:r>
      <w:r>
        <w:t xml:space="preserve">A facility subject to the requirements of this chapter may file an application for an exemption from some or all of the requirements of this chapter on a form developed by the department.  The department shall rule on a request for an exemption within 120 days of receipt of an application.</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