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Speed restrictions</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at a speed greater than is reasonable and proper, having due regard for traffic, proximity to wharves, docks, moorings or shores, and for any other conditions then existing,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Speed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Speed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§281. SPEED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