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Glass-breaking games</w:t>
      </w:r>
    </w:p>
    <w:p>
      <w:pPr>
        <w:jc w:val="both"/>
        <w:spacing w:before="100" w:after="100"/>
        <w:ind w:start="360"/>
        <w:ind w:firstLine="360"/>
      </w:pPr>
      <w:r>
        <w:rPr/>
      </w:r>
      <w:r>
        <w:rPr/>
      </w:r>
      <w:r>
        <w:t xml:space="preserve">A person, firm, corporation, association or organization may not hold, conduct or operate games of skill, as defined in </w:t>
      </w:r>
      <w:r>
        <w:t>Title 17, section 1831, subsection 6</w:t>
      </w:r>
      <w:r>
        <w:t xml:space="preserve">, that involve the breaking of glass.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§3118. Glass-breaking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Glass-breaking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§3118. GLASS-BREAKING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