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§344-B. TIMETABLES FOR PROCESSING PERMIT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