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349-L</w:t>
        <w:t xml:space="preserve">.  </w:t>
      </w:r>
      <w:r>
        <w:rPr>
          <w:b/>
        </w:rPr>
        <w:t xml:space="preserve">Scope of program</w:t>
      </w:r>
    </w:p>
    <w:p>
      <w:pPr>
        <w:jc w:val="both"/>
        <w:spacing w:before="100" w:after="100"/>
        <w:ind w:start="360"/>
        <w:ind w:firstLine="360"/>
      </w:pPr>
      <w:r>
        <w:rPr/>
      </w:r>
      <w:r>
        <w:rPr/>
      </w:r>
      <w:r>
        <w:t xml:space="preserve">This subchapter is intended to enhance the protection of human health and the environment by encouraging regulated entities to voluntarily discover, disclose, correct and prevent violations of state and federal environmental requirements. An environmental audit program and a compliance management system developed under this subchapter may be part of a regulated entity's comprehensive environmental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§349-L. Scope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§349-L. Scope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§349-L. SCOPE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