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Disbursements</w:t>
      </w:r>
    </w:p>
    <w:p>
      <w:pPr>
        <w:jc w:val="both"/>
        <w:spacing w:before="100" w:after="100"/>
        <w:ind w:start="360"/>
        <w:ind w:firstLine="360"/>
      </w:pPr>
      <w:r>
        <w:rPr/>
      </w:r>
      <w:r>
        <w:rPr/>
      </w:r>
      <w:r>
        <w:t xml:space="preserve">The fund is available to compensate the municipalities of the State for legal expenses, including court costs, attorneys' fees and expert and other witness fees, incurred in the enforcement of local land use laws and ordinances affecting great ponds and the defense of regulatory actions taken pursuant to such land use laws and ordinances.  The State shall provide 75% of a municipality's legal expenses which must be matched with a 25% local share, except that no single municipality may receive more than $25,000 from the fund in any fiscal year.  For purposes of this subchapter, "land use laws and ordinances" means those laws and ordinances enumerated in </w:t>
      </w:r>
      <w:r>
        <w:t>Title 30‑A, section 4452,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§H28 (NEW). PL 1987, c. 769, §A171 (AMD). PL 1989, c. 890, §§A40,B16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§356. Disbursements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Disbursements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§356. DISBURSEMENTS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