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410-K</w:t>
        <w:t xml:space="preserve">.  </w:t>
      </w:r>
      <w:r>
        <w:rPr>
          <w:b/>
        </w:rPr>
        <w:t xml:space="preserve">Program review</w:t>
      </w:r>
    </w:p>
    <w:p>
      <w:pPr>
        <w:jc w:val="both"/>
        <w:spacing w:before="100" w:after="100"/>
        <w:ind w:start="360"/>
        <w:ind w:firstLine="360"/>
      </w:pPr>
      <w:r>
        <w:rPr/>
      </w:r>
      <w:r>
        <w:rPr/>
      </w:r>
      <w:r>
        <w:t xml:space="preserve">Prior to January 1, 1993, the commissioner shall submit to the joint standing committee of the Legislature having jurisdiction over energy and natural resource matters a report detailing the effectiveness of the program and making recommendations for program improvements and fee amounts for permit applications under </w:t>
      </w:r>
      <w:r>
        <w:t>chapter 3, subchapter I, articles 5‑A</w:t>
      </w:r>
      <w:r>
        <w:t xml:space="preserve"> and </w:t>
      </w:r>
      <w:r>
        <w:t>6</w:t>
      </w:r>
      <w:r>
        <w:t xml:space="preserve">.  The commissioner shall make recommendations on the advisability of enacting statutory or regulatory exemptions from the water quality discharge licensing requirements of </w:t>
      </w:r>
      <w:r>
        <w:t>section 413</w:t>
      </w:r>
      <w:r>
        <w:t xml:space="preserve"> for those activities conducted in compliance with best management practice guidelines under this article.  The commissioner shall submit with these recommendations an analysis of the legal and enforcement issues raised by these exemptions, specifically, the need to adopt by rule best management practice guidelines.  In recommending fees pursuant to this section, the commissioner shall consider the cost of technical review and compliance inspection for best management practices and shall recommend fees that cover these costs.</w:t>
      </w:r>
      <w:r>
        <w:t xml:space="preserve">  </w:t>
      </w:r>
      <w:r xmlns:wp="http://schemas.openxmlformats.org/drawingml/2010/wordprocessingDrawing" xmlns:w15="http://schemas.microsoft.com/office/word/2012/wordml">
        <w:rPr>
          <w:rFonts w:ascii="Arial" w:hAnsi="Arial" w:cs="Arial"/>
          <w:sz w:val="22"/>
          <w:szCs w:val="22"/>
        </w:rPr>
        <w:t xml:space="preserve">[PL 1991, c. 838,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§410-K.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§410-K.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§410-K.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