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480-R</w:t>
        <w:t xml:space="preserve">.  </w:t>
      </w:r>
      <w:r>
        <w:rPr>
          <w:b/>
        </w:rPr>
        <w:t xml:space="preserve">Violations; enforcement</w:t>
      </w:r>
    </w:p>
    <w:p>
      <w:pPr>
        <w:jc w:val="both"/>
        <w:spacing w:before="100" w:after="0"/>
        <w:ind w:start="360"/>
        <w:ind w:firstLine="360"/>
      </w:pPr>
      <w:r>
        <w:rPr>
          <w:b/>
        </w:rPr>
        <w:t>1</w:t>
        <w:t xml:space="preserve">.  </w:t>
      </w:r>
      <w:r>
        <w:rPr>
          <w:b/>
        </w:rPr>
        <w:t xml:space="preserve">Violations.</w:t>
        <w:t xml:space="preserve"> </w:t>
      </w:r>
      <w:r>
        <w:t xml:space="preserve"> </w:t>
      </w:r>
      <w:r>
        <w:t xml:space="preserve">A violation is any activity which takes place contrary to the provisions of a valid permit issued under this article or without a permit having been issued for that activity.  Each day of a violation shall be considered a separate offense.  A finding that any such violation has occurred shall be prima facie evidence that the activity was performed or caused to be performed by the owner of the property where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w:t>
        <w:t xml:space="preserve">.  </w:t>
      </w:r>
      <w:r>
        <w:rPr>
          <w:b/>
        </w:rPr>
        <w:t xml:space="preserve">Enforcement.</w:t>
        <w:t xml:space="preserve"> </w:t>
      </w:r>
      <w:r>
        <w:t xml:space="preserve"> </w:t>
      </w:r>
      <w:r>
        <w:t xml:space="preserve">In addition to department staff, inland fisheries and wildlife game wardens, Department of Marine Resources marine patrol officers, all other law enforcement officers enumerated in </w:t>
      </w:r>
      <w:r>
        <w:t>Title 12, section 10401</w:t>
      </w:r>
      <w:r>
        <w:t xml:space="preserve"> and, pursuant to their delegated authority, the Maine Land Use Planning Commission and the Department of Agriculture, Conservation and Forestry, Bureau of Forestry shall enforce the terms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546, §7 (AMD). PL 1989, c. 890, §§A40,B82 (AMD). PL 2003, c. 414, §B71 (AMD). PL 2003, c. 414, §D7 (AFF). PL 2003, c. 614, §9 (AFF). PL 2023, c. 505,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§480-R. Violations;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§480-R. Violations;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§480-R. VIOLATIONS;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