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480-V</w:t>
        <w:t xml:space="preserve">.  </w:t>
      </w:r>
      <w:r>
        <w:rPr>
          <w:b/>
        </w:rPr>
        <w:t xml:space="preserve">Applicability</w:t>
      </w:r>
    </w:p>
    <w:p>
      <w:pPr>
        <w:jc w:val="both"/>
        <w:spacing w:before="100" w:after="100"/>
        <w:ind w:start="360"/>
        <w:ind w:firstLine="360"/>
      </w:pPr>
      <w:r>
        <w:rPr/>
      </w:r>
      <w:r>
        <w:rPr/>
      </w:r>
      <w:r>
        <w:t xml:space="preserve">This article applies to all protected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2007, c. 290, §6 (RPR).]</w:t>
      </w:r>
    </w:p>
    <w:p>
      <w:pPr>
        <w:jc w:val="both"/>
        <w:spacing w:before="100" w:after="0"/>
        <w:ind w:start="360"/>
        <w:ind w:firstLine="360"/>
      </w:pPr>
      <w:r>
        <w:rPr>
          <w:b/>
        </w:rPr>
        <w:t>1</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§F4 (NEW). PL 1993, c. 721, §H1 (AFF). PL 2001, c. 232, §16 (AMD). PL 2007, c. 290,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§480-V.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§480-V.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§480-V.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