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§486-B. General permit authority; Department of Transportation and Maine Turnpike Authority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§486-B. GENERAL PERMIT AUTHORITY; DEPARTMENT OF TRANSPORTATION AND MAINE TURNPIKE AUTHORITY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