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490-BB</w:t>
        <w:t xml:space="preserve">.  </w:t>
      </w:r>
      <w:r>
        <w:rPr>
          <w:b/>
        </w:rPr>
        <w:t xml:space="preserve">Enforcement and penalties</w:t>
      </w:r>
    </w:p>
    <w:p>
      <w:pPr>
        <w:jc w:val="both"/>
        <w:spacing w:before="100" w:after="100"/>
        <w:ind w:start="360"/>
        <w:ind w:firstLine="360"/>
      </w:pPr>
      <w:r>
        <w:rPr/>
      </w:r>
      <w:r>
        <w:rPr/>
      </w:r>
      <w:r>
        <w:t xml:space="preserve">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department may order the owner or operator of a quarry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article commits a civil violation and is subject to the penalties established under </w:t>
      </w:r>
      <w:r>
        <w:t>section 349</w:t>
      </w:r>
      <w:r>
        <w:t xml:space="preserve">.  Penalties assessed for enforcement actions taken by the State are payable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this necessary reclamation.  The commissioner may use the bond or other security paid under </w:t>
      </w:r>
      <w:r>
        <w:t>section 490‑Z, subsection 13, paragraph F</w:t>
      </w:r>
      <w:r>
        <w:t xml:space="preserve">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§490-BB.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§490-BB.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§490-BB.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