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490-Y</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 quarry under this article must file a notice of intent to comply before the total area of excavation of rock or overburden on the parcel exceeds one acre excavated since January 1, 1970.  Both reclaimed and unreclaimed areas are added together in determining whether this one-acre threshold is exceeded.  A notice filed under this section must be complete, submitted on forms approved by the department and mailed to the municipality where the quarry is located, the department, the Maine Historic Preservation Commission and each abutting property owner.  The notice that is mailed to the municipality and each abutting property owner must be sent by certified mail at least 7 days before the notice of intent to comply is filed with the regulator.  The notice that is mailed to the department must be sent by certified mail, return receipt requested.  Upon receiving the postal receipt, the owner or operator may commence operation of the quarry.  The municipality where the proposed quarry is located may submit comments to the department if the proposed quarry may pose an unreasonable adverse impact under the standards in </w:t>
      </w:r>
      <w:r>
        <w:t>section 490‑Z</w:t>
      </w:r>
      <w:r>
        <w:t xml:space="preserve">.  Within 30 days of receipt of the notice of intent to comply, the department shall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§11 (AMD).]</w:t>
      </w:r>
    </w:p>
    <w:p>
      <w:pPr>
        <w:jc w:val="both"/>
        <w:spacing w:before="100" w:after="100"/>
        <w:ind w:start="360"/>
        <w:ind w:firstLine="360"/>
      </w:pPr>
      <w:r>
        <w:rPr/>
      </w:r>
      <w:r>
        <w:rPr/>
      </w:r>
      <w:r>
        <w:t xml:space="preserve">A notice of intent to comply is not complete unless it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of the quarry and, if different from the owner, the operator of the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description of the parcel including size and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Legal interest.</w:t>
        <w:t xml:space="preserve"> </w:t>
      </w:r>
      <w:r>
        <w:t xml:space="preserve"> </w:t>
      </w:r>
      <w:r>
        <w:t xml:space="preserve">A copy of the lease or other document showing that an operator who is not the owner has a legal right to excavate on the property.  Stumpage information does not have to be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Signed statement.</w:t>
        <w:t xml:space="preserve"> </w:t>
      </w:r>
      <w:r>
        <w:t xml:space="preserve"> </w:t>
      </w:r>
      <w:r>
        <w:t xml:space="preserve">A statement signed and dated by the owner or operator certifying that the quarry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Fees.</w:t>
        <w:t xml:space="preserve"> </w:t>
      </w:r>
      <w:r>
        <w:t xml:space="preserve"> </w:t>
      </w:r>
      <w:r>
        <w:t xml:space="preserve">A fee paid to the department as provided by </w:t>
      </w:r>
      <w:r>
        <w:t>section 490‑EE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§22 (AMD). PL 2005, c. 158, §10 (AMD). PL 2007, c. 297, §9 (AMD). PL 2017, c. 137,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§490-Y. Notice of intent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§490-Y. Notice of intent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§490-Y. NOTICE OF INTENT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