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w:t>
        <w:t xml:space="preserve">.  </w:t>
      </w:r>
      <w:r>
        <w:rPr>
          <w:b/>
        </w:rPr>
        <w:t xml:space="preserve">Abatement and control of pollution -- Article VI</w:t>
      </w:r>
    </w:p>
    <w:p>
      <w:pPr>
        <w:jc w:val="both"/>
        <w:spacing w:before="100" w:after="100"/>
        <w:ind w:start="360"/>
        <w:ind w:firstLine="360"/>
      </w:pPr>
      <w:r>
        <w:rPr/>
      </w:r>
      <w:r>
        <w:rPr/>
      </w:r>
      <w:r>
        <w:t xml:space="preserve">Each of the signatory states pledges to provide for the abatement of existing pollution and for the control of future pollution of interstate inland and tidal waters as described in </w:t>
      </w:r>
      <w:r>
        <w:t>Article I</w:t>
      </w:r>
      <w:r>
        <w:t xml:space="preserve">, and to put and maintain the waters thereof in a satisfactory condition consistent with the highest classified use of each body of water.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§496. Abatement and control of pollution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 Abatement and control of pollution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§496. ABATEMENT AND CONTROL OF POLLUTION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